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73" w:rsidRPr="00E15F62" w:rsidRDefault="009A4973" w:rsidP="009A4973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2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Person Specification for the role of</w:t>
      </w:r>
    </w:p>
    <w:p w:rsidR="009A4973" w:rsidRDefault="009A4973" w:rsidP="009A4973">
      <w:pPr>
        <w:spacing w:after="200" w:line="276" w:lineRule="auto"/>
        <w:jc w:val="center"/>
        <w:rPr>
          <w:rFonts w:ascii="Calibri" w:eastAsia="Arial Unicode MS" w:hAnsi="Calibri" w:cs="Times New Roman"/>
          <w:b/>
          <w:kern w:val="2"/>
          <w:sz w:val="28"/>
          <w:szCs w:val="28"/>
        </w:rPr>
      </w:pPr>
      <w:r w:rsidRPr="00E15F62">
        <w:rPr>
          <w:rFonts w:ascii="Calibri" w:eastAsia="Arial Unicode MS" w:hAnsi="Calibri" w:cs="Times New Roman"/>
          <w:b/>
          <w:kern w:val="2"/>
          <w:sz w:val="28"/>
          <w:szCs w:val="28"/>
        </w:rPr>
        <w:t xml:space="preserve">Director of </w:t>
      </w:r>
      <w:r>
        <w:rPr>
          <w:rFonts w:ascii="Calibri" w:eastAsia="Arial Unicode MS" w:hAnsi="Calibri" w:cs="Times New Roman"/>
          <w:b/>
          <w:kern w:val="2"/>
          <w:sz w:val="28"/>
          <w:szCs w:val="28"/>
        </w:rPr>
        <w:t xml:space="preserve">Safeguarding, Personal Development, CPD, Behaviour and Attitudes or the role of </w:t>
      </w:r>
    </w:p>
    <w:p w:rsidR="009A4973" w:rsidRPr="00E15F62" w:rsidRDefault="009A4973" w:rsidP="009A4973">
      <w:pPr>
        <w:spacing w:after="200" w:line="276" w:lineRule="auto"/>
        <w:jc w:val="center"/>
        <w:rPr>
          <w:rFonts w:ascii="Calibri" w:hAnsi="Calibri" w:cs="Calibri"/>
          <w:b/>
        </w:rPr>
      </w:pPr>
      <w:r>
        <w:rPr>
          <w:rFonts w:ascii="Calibri" w:eastAsia="Arial Unicode MS" w:hAnsi="Calibri" w:cs="Times New Roman"/>
          <w:b/>
          <w:kern w:val="2"/>
          <w:sz w:val="28"/>
          <w:szCs w:val="28"/>
        </w:rPr>
        <w:t xml:space="preserve">Director of Curriculum, Assessment, Teaching and Learning. </w:t>
      </w:r>
    </w:p>
    <w:p w:rsidR="008C1142" w:rsidRDefault="008C1142"/>
    <w:p w:rsidR="0090268D" w:rsidRDefault="009A4973">
      <w:r>
        <w:t>Q</w:t>
      </w:r>
      <w:r w:rsidR="0090268D">
        <w:t>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90268D" w:rsidTr="00550B6A">
        <w:tc>
          <w:tcPr>
            <w:tcW w:w="7650" w:type="dxa"/>
          </w:tcPr>
          <w:p w:rsidR="0090268D" w:rsidRDefault="0090268D" w:rsidP="00571F69"/>
        </w:tc>
        <w:tc>
          <w:tcPr>
            <w:tcW w:w="709" w:type="dxa"/>
          </w:tcPr>
          <w:p w:rsidR="0090268D" w:rsidRDefault="0090268D" w:rsidP="00550B6A">
            <w:r>
              <w:t>E</w:t>
            </w:r>
          </w:p>
        </w:tc>
        <w:tc>
          <w:tcPr>
            <w:tcW w:w="657" w:type="dxa"/>
          </w:tcPr>
          <w:p w:rsidR="0090268D" w:rsidRDefault="0090268D" w:rsidP="00550B6A">
            <w:r>
              <w:t>D</w:t>
            </w:r>
          </w:p>
        </w:tc>
      </w:tr>
      <w:tr w:rsidR="0090268D" w:rsidTr="00550B6A">
        <w:tc>
          <w:tcPr>
            <w:tcW w:w="7650" w:type="dxa"/>
          </w:tcPr>
          <w:p w:rsidR="0090268D" w:rsidRDefault="0090268D" w:rsidP="00571F69">
            <w:r>
              <w:t>Qualified Teacher Status</w:t>
            </w:r>
          </w:p>
        </w:tc>
        <w:tc>
          <w:tcPr>
            <w:tcW w:w="709" w:type="dxa"/>
          </w:tcPr>
          <w:p w:rsidR="0090268D" w:rsidRDefault="00ED4A45" w:rsidP="00571F69">
            <w:r>
              <w:sym w:font="Wingdings" w:char="F0FC"/>
            </w:r>
          </w:p>
        </w:tc>
        <w:tc>
          <w:tcPr>
            <w:tcW w:w="657" w:type="dxa"/>
          </w:tcPr>
          <w:p w:rsidR="0090268D" w:rsidRDefault="0090268D" w:rsidP="00571F69"/>
        </w:tc>
      </w:tr>
      <w:tr w:rsidR="0045019A" w:rsidTr="00550B6A">
        <w:tc>
          <w:tcPr>
            <w:tcW w:w="7650" w:type="dxa"/>
          </w:tcPr>
          <w:p w:rsidR="0045019A" w:rsidRDefault="0045019A" w:rsidP="00571F69">
            <w:r>
              <w:t>Evidence of further professional qualifications and training associated with school leadership</w:t>
            </w:r>
          </w:p>
        </w:tc>
        <w:tc>
          <w:tcPr>
            <w:tcW w:w="709" w:type="dxa"/>
          </w:tcPr>
          <w:p w:rsidR="0045019A" w:rsidRDefault="0045019A" w:rsidP="00571F69"/>
        </w:tc>
        <w:tc>
          <w:tcPr>
            <w:tcW w:w="657" w:type="dxa"/>
          </w:tcPr>
          <w:p w:rsidR="0045019A" w:rsidRDefault="0045019A" w:rsidP="00571F69">
            <w:r>
              <w:sym w:font="Wingdings" w:char="F0FC"/>
            </w:r>
          </w:p>
        </w:tc>
      </w:tr>
      <w:tr w:rsidR="0045019A" w:rsidTr="00550B6A">
        <w:tc>
          <w:tcPr>
            <w:tcW w:w="7650" w:type="dxa"/>
          </w:tcPr>
          <w:p w:rsidR="0045019A" w:rsidRDefault="0045019A" w:rsidP="00571F69">
            <w:r>
              <w:t>Professional qualification in a SEND specialism</w:t>
            </w:r>
          </w:p>
        </w:tc>
        <w:tc>
          <w:tcPr>
            <w:tcW w:w="709" w:type="dxa"/>
          </w:tcPr>
          <w:p w:rsidR="0045019A" w:rsidRDefault="0045019A" w:rsidP="00571F69"/>
        </w:tc>
        <w:tc>
          <w:tcPr>
            <w:tcW w:w="657" w:type="dxa"/>
          </w:tcPr>
          <w:p w:rsidR="0045019A" w:rsidRDefault="0045019A" w:rsidP="00571F69">
            <w:r>
              <w:sym w:font="Wingdings" w:char="F0FC"/>
            </w:r>
          </w:p>
        </w:tc>
      </w:tr>
    </w:tbl>
    <w:p w:rsidR="00437FDD" w:rsidRDefault="00437FDD"/>
    <w:p w:rsidR="0090268D" w:rsidRDefault="0090268D">
      <w:r>
        <w:t xml:space="preserve">Experience and knowledge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90268D" w:rsidTr="00550B6A">
        <w:tc>
          <w:tcPr>
            <w:tcW w:w="7650" w:type="dxa"/>
          </w:tcPr>
          <w:p w:rsidR="0090268D" w:rsidRDefault="0090268D" w:rsidP="00571F69"/>
        </w:tc>
        <w:tc>
          <w:tcPr>
            <w:tcW w:w="709" w:type="dxa"/>
          </w:tcPr>
          <w:p w:rsidR="0090268D" w:rsidRDefault="00550B6A" w:rsidP="00571F69">
            <w:r>
              <w:t>E</w:t>
            </w:r>
          </w:p>
        </w:tc>
        <w:tc>
          <w:tcPr>
            <w:tcW w:w="657" w:type="dxa"/>
          </w:tcPr>
          <w:p w:rsidR="0090268D" w:rsidRDefault="00550B6A" w:rsidP="00550B6A">
            <w:r>
              <w:t>D</w:t>
            </w:r>
          </w:p>
        </w:tc>
      </w:tr>
      <w:tr w:rsidR="0090268D" w:rsidTr="00550B6A">
        <w:tc>
          <w:tcPr>
            <w:tcW w:w="7650" w:type="dxa"/>
          </w:tcPr>
          <w:p w:rsidR="0090268D" w:rsidRDefault="0090268D" w:rsidP="0045019A">
            <w:r>
              <w:t xml:space="preserve">Experience of </w:t>
            </w:r>
            <w:r w:rsidR="0045019A">
              <w:t>leadership in a school</w:t>
            </w:r>
            <w:r>
              <w:t xml:space="preserve"> as a minimum</w:t>
            </w:r>
          </w:p>
        </w:tc>
        <w:tc>
          <w:tcPr>
            <w:tcW w:w="709" w:type="dxa"/>
          </w:tcPr>
          <w:p w:rsidR="0090268D" w:rsidRDefault="0090268D" w:rsidP="00571F69"/>
        </w:tc>
        <w:tc>
          <w:tcPr>
            <w:tcW w:w="657" w:type="dxa"/>
          </w:tcPr>
          <w:p w:rsidR="0090268D" w:rsidRDefault="00ED4A45" w:rsidP="00571F69">
            <w:r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A proven track record of securing improvement in the quality of teaching and learning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A proven track record of raising achievement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Experience of managing resources efficiently and effectively Financial awareness and the ability to understand, plan and manage the budget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B34D8A"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8C1142">
            <w:r>
              <w:t xml:space="preserve">Experience of using all relevant data to drive school improvement 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8C1142" w:rsidTr="00550B6A">
        <w:tc>
          <w:tcPr>
            <w:tcW w:w="7650" w:type="dxa"/>
          </w:tcPr>
          <w:p w:rsidR="008C1142" w:rsidRDefault="008C1142" w:rsidP="00ED4A45">
            <w:r>
              <w:t>The ability to analyse and interpret complex information and explain key elements in simple terms</w:t>
            </w:r>
          </w:p>
        </w:tc>
        <w:tc>
          <w:tcPr>
            <w:tcW w:w="709" w:type="dxa"/>
          </w:tcPr>
          <w:p w:rsidR="008C1142" w:rsidRPr="00B34D8A" w:rsidRDefault="008C1142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8C1142" w:rsidRDefault="008C1142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Strong understanding of statutory requirements relating to the curriculum and assessment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Experience of developing a curriculum which is personalised to the needs of the children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Able to demonstrate a clear rationale for behaviour management and a proven track record of the effective implementation of a range of behaviour management strategies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B34D8A"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High expectations when managing, developing, inspiring, challenging and motivating staff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Commitment to working with other schools, organisations and agencies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An understanding of the legislation relating to SEND and to KCSIE (including Prevent and British Values)</w:t>
            </w:r>
          </w:p>
        </w:tc>
        <w:tc>
          <w:tcPr>
            <w:tcW w:w="709" w:type="dxa"/>
          </w:tcPr>
          <w:p w:rsidR="00ED4A45" w:rsidRDefault="00ED4A45" w:rsidP="00ED4A45">
            <w:r w:rsidRPr="00B34D8A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9A4973">
            <w:r>
              <w:t xml:space="preserve">Relevant experience in more than one school 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9A4973" w:rsidP="00ED4A45">
            <w:r w:rsidRPr="00B34D8A">
              <w:sym w:font="Wingdings" w:char="F0FC"/>
            </w:r>
          </w:p>
        </w:tc>
      </w:tr>
      <w:tr w:rsidR="009A4973" w:rsidTr="00550B6A">
        <w:tc>
          <w:tcPr>
            <w:tcW w:w="7650" w:type="dxa"/>
          </w:tcPr>
          <w:p w:rsidR="009A4973" w:rsidRDefault="009A4973" w:rsidP="00ED4A45">
            <w:r>
              <w:t>Experience of working effectively with a wide range of ability range (including SEND and more able children)</w:t>
            </w:r>
          </w:p>
        </w:tc>
        <w:tc>
          <w:tcPr>
            <w:tcW w:w="709" w:type="dxa"/>
          </w:tcPr>
          <w:p w:rsidR="009A4973" w:rsidRPr="00B34D8A" w:rsidRDefault="009A4973" w:rsidP="00ED4A45"/>
        </w:tc>
        <w:tc>
          <w:tcPr>
            <w:tcW w:w="657" w:type="dxa"/>
          </w:tcPr>
          <w:p w:rsidR="009A4973" w:rsidRDefault="0045019A" w:rsidP="00ED4A45">
            <w:r w:rsidRPr="00B34D8A"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Previous experience of working and bringing about positive change in a challenging school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B34D8A">
              <w:sym w:font="Wingdings" w:char="F0FC"/>
            </w:r>
          </w:p>
        </w:tc>
      </w:tr>
    </w:tbl>
    <w:p w:rsidR="0090268D" w:rsidRDefault="0090268D"/>
    <w:p w:rsidR="008C1142" w:rsidRDefault="008C1142"/>
    <w:p w:rsidR="008C1142" w:rsidRDefault="008C1142"/>
    <w:p w:rsidR="0090268D" w:rsidRDefault="0090268D">
      <w:r>
        <w:lastRenderedPageBreak/>
        <w:t xml:space="preserve">Professional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90268D" w:rsidTr="00550B6A">
        <w:tc>
          <w:tcPr>
            <w:tcW w:w="7650" w:type="dxa"/>
          </w:tcPr>
          <w:p w:rsidR="0090268D" w:rsidRDefault="0090268D" w:rsidP="00571F69"/>
        </w:tc>
        <w:tc>
          <w:tcPr>
            <w:tcW w:w="709" w:type="dxa"/>
          </w:tcPr>
          <w:p w:rsidR="0090268D" w:rsidRDefault="00550B6A" w:rsidP="00550B6A">
            <w:r>
              <w:t>E</w:t>
            </w:r>
          </w:p>
        </w:tc>
        <w:tc>
          <w:tcPr>
            <w:tcW w:w="657" w:type="dxa"/>
          </w:tcPr>
          <w:p w:rsidR="0090268D" w:rsidRDefault="00550B6A" w:rsidP="00550B6A">
            <w:r>
              <w:t>D</w:t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751274">
            <w:r>
              <w:t>Up to date knowledge of what research and inspection findings tell us about effective leadership, teaching and learning</w:t>
            </w:r>
            <w:r w:rsidR="00751274">
              <w:t>/behaviour management</w:t>
            </w:r>
            <w:r>
              <w:t xml:space="preserve"> in </w:t>
            </w:r>
            <w:r w:rsidR="00751274">
              <w:t>mainstream and s</w:t>
            </w:r>
            <w:r>
              <w:t>pecial education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2F3FEC"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Has undertaken sustained professional development in relation to teaching, learning and curriculum</w:t>
            </w:r>
          </w:p>
        </w:tc>
        <w:tc>
          <w:tcPr>
            <w:tcW w:w="709" w:type="dxa"/>
          </w:tcPr>
          <w:p w:rsidR="00ED4A45" w:rsidRDefault="00ED4A45" w:rsidP="00ED4A45">
            <w:r w:rsidRPr="002F3FE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Experience of leading and co-ordinating professional development opportunities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2F3FEC">
              <w:sym w:font="Wingdings" w:char="F0FC"/>
            </w:r>
          </w:p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 xml:space="preserve">Ability to identify own learning needs and to support others in identifying their </w:t>
            </w:r>
            <w:r w:rsidR="00437FDD">
              <w:t>needs</w:t>
            </w:r>
          </w:p>
        </w:tc>
        <w:tc>
          <w:tcPr>
            <w:tcW w:w="709" w:type="dxa"/>
          </w:tcPr>
          <w:p w:rsidR="00ED4A45" w:rsidRDefault="00ED4A45" w:rsidP="00ED4A45">
            <w:r w:rsidRPr="002F3FE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</w:tbl>
    <w:p w:rsidR="00550B6A" w:rsidRDefault="00550B6A"/>
    <w:p w:rsidR="00437FDD" w:rsidRDefault="00437FDD">
      <w:r>
        <w:t>Leading and managing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437FDD" w:rsidTr="00571F69">
        <w:tc>
          <w:tcPr>
            <w:tcW w:w="7650" w:type="dxa"/>
          </w:tcPr>
          <w:p w:rsidR="00437FDD" w:rsidRDefault="00437FDD" w:rsidP="00571F69"/>
        </w:tc>
        <w:tc>
          <w:tcPr>
            <w:tcW w:w="709" w:type="dxa"/>
          </w:tcPr>
          <w:p w:rsidR="00437FDD" w:rsidRDefault="00437FDD" w:rsidP="00571F69">
            <w:r>
              <w:t>E</w:t>
            </w:r>
          </w:p>
        </w:tc>
        <w:tc>
          <w:tcPr>
            <w:tcW w:w="657" w:type="dxa"/>
          </w:tcPr>
          <w:p w:rsidR="00437FDD" w:rsidRDefault="00437FDD" w:rsidP="00571F69">
            <w:r>
              <w:t>D</w:t>
            </w:r>
          </w:p>
        </w:tc>
      </w:tr>
      <w:tr w:rsidR="00437FDD" w:rsidTr="00571F69">
        <w:tc>
          <w:tcPr>
            <w:tcW w:w="7650" w:type="dxa"/>
          </w:tcPr>
          <w:p w:rsidR="00437FDD" w:rsidRDefault="00437FDD" w:rsidP="00437FDD">
            <w:r>
              <w:t>Substantial experience of leading school initiatives or staff teams</w:t>
            </w:r>
          </w:p>
        </w:tc>
        <w:tc>
          <w:tcPr>
            <w:tcW w:w="709" w:type="dxa"/>
          </w:tcPr>
          <w:p w:rsidR="00437FDD" w:rsidRDefault="00437FDD" w:rsidP="00437FDD">
            <w:r w:rsidRPr="006E2321">
              <w:sym w:font="Wingdings" w:char="F0FC"/>
            </w:r>
          </w:p>
        </w:tc>
        <w:tc>
          <w:tcPr>
            <w:tcW w:w="657" w:type="dxa"/>
          </w:tcPr>
          <w:p w:rsidR="00437FDD" w:rsidRDefault="00437FDD" w:rsidP="00437FDD"/>
        </w:tc>
      </w:tr>
      <w:tr w:rsidR="00437FDD" w:rsidTr="00571F69">
        <w:tc>
          <w:tcPr>
            <w:tcW w:w="7650" w:type="dxa"/>
          </w:tcPr>
          <w:p w:rsidR="00437FDD" w:rsidRDefault="00437FDD" w:rsidP="00437FDD">
            <w:r>
              <w:t>Ability to delegate work and support colleagues in undertaking responsibilities</w:t>
            </w:r>
          </w:p>
        </w:tc>
        <w:tc>
          <w:tcPr>
            <w:tcW w:w="709" w:type="dxa"/>
          </w:tcPr>
          <w:p w:rsidR="00437FDD" w:rsidRDefault="00437FDD" w:rsidP="00437FDD">
            <w:r w:rsidRPr="006E2321">
              <w:sym w:font="Wingdings" w:char="F0FC"/>
            </w:r>
          </w:p>
        </w:tc>
        <w:tc>
          <w:tcPr>
            <w:tcW w:w="657" w:type="dxa"/>
          </w:tcPr>
          <w:p w:rsidR="00437FDD" w:rsidRDefault="00437FDD" w:rsidP="00437FDD"/>
        </w:tc>
      </w:tr>
      <w:tr w:rsidR="0045019A" w:rsidTr="00571F69">
        <w:tc>
          <w:tcPr>
            <w:tcW w:w="7650" w:type="dxa"/>
          </w:tcPr>
          <w:p w:rsidR="0045019A" w:rsidRDefault="0045019A" w:rsidP="0045019A">
            <w:r>
              <w:t>Experience of performance management and supporting the CPD of colleagues</w:t>
            </w:r>
          </w:p>
        </w:tc>
        <w:tc>
          <w:tcPr>
            <w:tcW w:w="709" w:type="dxa"/>
          </w:tcPr>
          <w:p w:rsidR="0045019A" w:rsidRDefault="0045019A" w:rsidP="0045019A"/>
        </w:tc>
        <w:tc>
          <w:tcPr>
            <w:tcW w:w="657" w:type="dxa"/>
          </w:tcPr>
          <w:p w:rsidR="0045019A" w:rsidRDefault="0045019A" w:rsidP="0045019A">
            <w:r w:rsidRPr="006E2321">
              <w:sym w:font="Wingdings" w:char="F0FC"/>
            </w:r>
          </w:p>
        </w:tc>
      </w:tr>
      <w:tr w:rsidR="0045019A" w:rsidTr="00571F69">
        <w:tc>
          <w:tcPr>
            <w:tcW w:w="7650" w:type="dxa"/>
          </w:tcPr>
          <w:p w:rsidR="0045019A" w:rsidRDefault="0045019A" w:rsidP="0045019A">
            <w:r>
              <w:t>Evidence of applying safe recruitment practices and developing a safe culture in school</w:t>
            </w:r>
          </w:p>
        </w:tc>
        <w:tc>
          <w:tcPr>
            <w:tcW w:w="709" w:type="dxa"/>
          </w:tcPr>
          <w:p w:rsidR="0045019A" w:rsidRDefault="0045019A" w:rsidP="0045019A"/>
        </w:tc>
        <w:tc>
          <w:tcPr>
            <w:tcW w:w="657" w:type="dxa"/>
          </w:tcPr>
          <w:p w:rsidR="0045019A" w:rsidRDefault="0045019A" w:rsidP="0045019A">
            <w:r w:rsidRPr="006E2321">
              <w:sym w:font="Wingdings" w:char="F0FC"/>
            </w:r>
          </w:p>
        </w:tc>
      </w:tr>
      <w:tr w:rsidR="0045019A" w:rsidTr="00571F69">
        <w:tc>
          <w:tcPr>
            <w:tcW w:w="7650" w:type="dxa"/>
          </w:tcPr>
          <w:p w:rsidR="0045019A" w:rsidRDefault="0045019A" w:rsidP="0045019A">
            <w:r>
              <w:t>Successful involvement in staff recruitment, appointment and induction</w:t>
            </w:r>
          </w:p>
        </w:tc>
        <w:tc>
          <w:tcPr>
            <w:tcW w:w="709" w:type="dxa"/>
          </w:tcPr>
          <w:p w:rsidR="0045019A" w:rsidRDefault="0045019A" w:rsidP="0045019A"/>
        </w:tc>
        <w:tc>
          <w:tcPr>
            <w:tcW w:w="657" w:type="dxa"/>
          </w:tcPr>
          <w:p w:rsidR="0045019A" w:rsidRDefault="0045019A" w:rsidP="0045019A">
            <w:r w:rsidRPr="006E2321">
              <w:sym w:font="Wingdings" w:char="F0FC"/>
            </w:r>
          </w:p>
        </w:tc>
      </w:tr>
    </w:tbl>
    <w:p w:rsidR="00437FDD" w:rsidRDefault="00437FDD"/>
    <w:p w:rsidR="00550B6A" w:rsidRDefault="00550B6A">
      <w:r>
        <w:t>Skills, qualities and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437FDD" w:rsidTr="00550B6A">
        <w:trPr>
          <w:trHeight w:val="70"/>
        </w:trPr>
        <w:tc>
          <w:tcPr>
            <w:tcW w:w="7650" w:type="dxa"/>
          </w:tcPr>
          <w:p w:rsidR="00437FDD" w:rsidRDefault="00437FDD" w:rsidP="00ED4A45"/>
        </w:tc>
        <w:tc>
          <w:tcPr>
            <w:tcW w:w="709" w:type="dxa"/>
          </w:tcPr>
          <w:p w:rsidR="00437FDD" w:rsidRPr="00E171FC" w:rsidRDefault="00437FDD" w:rsidP="00ED4A45">
            <w:r>
              <w:t>E</w:t>
            </w:r>
          </w:p>
        </w:tc>
        <w:tc>
          <w:tcPr>
            <w:tcW w:w="657" w:type="dxa"/>
          </w:tcPr>
          <w:p w:rsidR="00437FDD" w:rsidRDefault="00437FDD" w:rsidP="00ED4A45">
            <w:r>
              <w:t>D</w:t>
            </w:r>
          </w:p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Lead by example, demonstrating a ‘can do’ approach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 xml:space="preserve">Demonstrate an understanding, awareness and empathy for the needs of the </w:t>
            </w:r>
            <w:r w:rsidR="008C1142">
              <w:t>students</w:t>
            </w:r>
            <w:r>
              <w:t xml:space="preserve"> and these could be met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F97CA5">
            <w:r>
              <w:t xml:space="preserve">A strong belief in inclusion for all 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F97CA5" w:rsidTr="00550B6A">
        <w:trPr>
          <w:trHeight w:val="70"/>
        </w:trPr>
        <w:tc>
          <w:tcPr>
            <w:tcW w:w="7650" w:type="dxa"/>
          </w:tcPr>
          <w:p w:rsidR="00F97CA5" w:rsidRDefault="00F97CA5" w:rsidP="00ED4A45">
            <w:r>
              <w:t>Excellent interpersonal and communication skills to engage a range of audiences including staff, children, parents, governors, local authority and external agencies</w:t>
            </w:r>
          </w:p>
        </w:tc>
        <w:tc>
          <w:tcPr>
            <w:tcW w:w="709" w:type="dxa"/>
          </w:tcPr>
          <w:p w:rsidR="00F97CA5" w:rsidRPr="00E171FC" w:rsidRDefault="00F97CA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F97CA5" w:rsidRDefault="00F97CA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High expectations for children’s learning and attainment alongside high expectations for all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 xml:space="preserve">Ability to provide a safe, calm and well-ordered environment to facilitate excellent behaviour 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Ambition for our school</w:t>
            </w:r>
            <w:r w:rsidR="00F97CA5">
              <w:t>/settings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A commitment to continuous school improvement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Experience of offering challenge and support to improve performance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Perseverance and resilience in the face of challenge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Ability to remain calm, positive and enthusiastic when working under pressure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Manage and resolve conflict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Ability to organise work, prioritise tasks, make decisions and manage time effectively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rPr>
          <w:trHeight w:val="70"/>
        </w:trPr>
        <w:tc>
          <w:tcPr>
            <w:tcW w:w="7650" w:type="dxa"/>
          </w:tcPr>
          <w:p w:rsidR="00ED4A45" w:rsidRDefault="00ED4A45" w:rsidP="00ED4A45">
            <w:r>
              <w:t>A belief in the importance of extracurricular opportunities for all children</w:t>
            </w:r>
          </w:p>
        </w:tc>
        <w:tc>
          <w:tcPr>
            <w:tcW w:w="709" w:type="dxa"/>
          </w:tcPr>
          <w:p w:rsidR="00ED4A45" w:rsidRDefault="00ED4A45" w:rsidP="00ED4A45">
            <w:r w:rsidRPr="00E171FC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</w:tbl>
    <w:p w:rsidR="00550B6A" w:rsidRDefault="00550B6A"/>
    <w:p w:rsidR="00550B6A" w:rsidRDefault="0090268D">
      <w:r>
        <w:t xml:space="preserve">Strategic leadership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550B6A" w:rsidTr="00550B6A">
        <w:tc>
          <w:tcPr>
            <w:tcW w:w="7650" w:type="dxa"/>
          </w:tcPr>
          <w:p w:rsidR="00550B6A" w:rsidRDefault="00550B6A" w:rsidP="00571F69"/>
        </w:tc>
        <w:tc>
          <w:tcPr>
            <w:tcW w:w="709" w:type="dxa"/>
          </w:tcPr>
          <w:p w:rsidR="00550B6A" w:rsidRDefault="00550B6A" w:rsidP="00550B6A">
            <w:r>
              <w:t>E</w:t>
            </w:r>
          </w:p>
        </w:tc>
        <w:tc>
          <w:tcPr>
            <w:tcW w:w="657" w:type="dxa"/>
          </w:tcPr>
          <w:p w:rsidR="00550B6A" w:rsidRDefault="00550B6A" w:rsidP="00550B6A">
            <w:r>
              <w:t>D</w:t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Ability to articulate and share the school</w:t>
            </w:r>
            <w:r w:rsidR="00F97CA5">
              <w:t>’s/hub’s</w:t>
            </w:r>
            <w:r>
              <w:t xml:space="preserve"> vision, aims and values</w:t>
            </w:r>
          </w:p>
        </w:tc>
        <w:tc>
          <w:tcPr>
            <w:tcW w:w="709" w:type="dxa"/>
          </w:tcPr>
          <w:p w:rsidR="00ED4A45" w:rsidRDefault="00ED4A45" w:rsidP="00ED4A45">
            <w:r w:rsidRPr="00B312B6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lastRenderedPageBreak/>
              <w:t>The confidence and ability to inspire and motivate staff, children, parents and governors to achieve the aims of the school</w:t>
            </w:r>
            <w:r w:rsidR="00F97CA5">
              <w:t>/settings</w:t>
            </w:r>
          </w:p>
        </w:tc>
        <w:tc>
          <w:tcPr>
            <w:tcW w:w="709" w:type="dxa"/>
          </w:tcPr>
          <w:p w:rsidR="00ED4A45" w:rsidRDefault="00ED4A45" w:rsidP="00ED4A45">
            <w:r w:rsidRPr="00B312B6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Evidence of having successfully translated vision into reality at whole school level</w:t>
            </w:r>
          </w:p>
        </w:tc>
        <w:tc>
          <w:tcPr>
            <w:tcW w:w="709" w:type="dxa"/>
          </w:tcPr>
          <w:p w:rsidR="00ED4A45" w:rsidRDefault="00ED4A45" w:rsidP="00ED4A45">
            <w:r w:rsidRPr="00B312B6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Evidence of successful strategies for planning, implementing, monitoring and evaluating school improvement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B312B6">
              <w:sym w:font="Wingdings" w:char="F0FC"/>
            </w:r>
          </w:p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Evidence of analysing data, developing strategic plans, setting targets and evaluating progress towards these</w:t>
            </w:r>
          </w:p>
        </w:tc>
        <w:tc>
          <w:tcPr>
            <w:tcW w:w="709" w:type="dxa"/>
          </w:tcPr>
          <w:p w:rsidR="00ED4A45" w:rsidRDefault="00ED4A45" w:rsidP="00ED4A45">
            <w:r w:rsidRPr="00B312B6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50B6A">
        <w:tc>
          <w:tcPr>
            <w:tcW w:w="7650" w:type="dxa"/>
          </w:tcPr>
          <w:p w:rsidR="00ED4A45" w:rsidRDefault="00ED4A45" w:rsidP="00ED4A45">
            <w:r>
              <w:t>Understanding of strategies for performance management</w:t>
            </w:r>
          </w:p>
        </w:tc>
        <w:tc>
          <w:tcPr>
            <w:tcW w:w="709" w:type="dxa"/>
          </w:tcPr>
          <w:p w:rsidR="00ED4A45" w:rsidRDefault="00ED4A45" w:rsidP="00ED4A45">
            <w:r w:rsidRPr="00B312B6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</w:tbl>
    <w:p w:rsidR="00437FDD" w:rsidRDefault="00437FDD"/>
    <w:p w:rsidR="00550B6A" w:rsidRDefault="0090268D">
      <w:r>
        <w:t xml:space="preserve">Teaching and Learning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550B6A" w:rsidTr="00571F69">
        <w:tc>
          <w:tcPr>
            <w:tcW w:w="7650" w:type="dxa"/>
          </w:tcPr>
          <w:p w:rsidR="00550B6A" w:rsidRDefault="00550B6A" w:rsidP="00571F69"/>
        </w:tc>
        <w:tc>
          <w:tcPr>
            <w:tcW w:w="709" w:type="dxa"/>
          </w:tcPr>
          <w:p w:rsidR="00550B6A" w:rsidRDefault="00550B6A" w:rsidP="00571F69">
            <w:r>
              <w:t>E</w:t>
            </w:r>
          </w:p>
        </w:tc>
        <w:tc>
          <w:tcPr>
            <w:tcW w:w="657" w:type="dxa"/>
          </w:tcPr>
          <w:p w:rsidR="00550B6A" w:rsidRDefault="00550B6A" w:rsidP="00571F69">
            <w:r>
              <w:t>D</w:t>
            </w:r>
          </w:p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 xml:space="preserve">To be a leader of learning, demonstrating, promoting and encouraging </w:t>
            </w:r>
            <w:r w:rsidR="008C1142">
              <w:t>consistently good/</w:t>
            </w:r>
            <w:r>
              <w:t>outstanding classroom practice</w:t>
            </w:r>
          </w:p>
        </w:tc>
        <w:tc>
          <w:tcPr>
            <w:tcW w:w="709" w:type="dxa"/>
          </w:tcPr>
          <w:p w:rsidR="00ED4A45" w:rsidRDefault="00ED4A45" w:rsidP="00ED4A45">
            <w:r w:rsidRPr="001D6F65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An understanding of the developments and requirements of the National Curriculum</w:t>
            </w:r>
          </w:p>
        </w:tc>
        <w:tc>
          <w:tcPr>
            <w:tcW w:w="709" w:type="dxa"/>
          </w:tcPr>
          <w:p w:rsidR="00ED4A45" w:rsidRDefault="00ED4A45" w:rsidP="00ED4A45">
            <w:r w:rsidRPr="001D6F65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Knowledge and experience of a range of teaching and learning strategies to meet the needs of children with Special Needs</w:t>
            </w:r>
          </w:p>
        </w:tc>
        <w:tc>
          <w:tcPr>
            <w:tcW w:w="709" w:type="dxa"/>
          </w:tcPr>
          <w:p w:rsidR="00ED4A45" w:rsidRDefault="00ED4A45" w:rsidP="00ED4A45"/>
        </w:tc>
        <w:tc>
          <w:tcPr>
            <w:tcW w:w="657" w:type="dxa"/>
          </w:tcPr>
          <w:p w:rsidR="00ED4A45" w:rsidRDefault="0045019A" w:rsidP="00ED4A45">
            <w:r w:rsidRPr="001D6F65">
              <w:sym w:font="Wingdings" w:char="F0FC"/>
            </w:r>
            <w:bookmarkStart w:id="0" w:name="_GoBack"/>
            <w:bookmarkEnd w:id="0"/>
          </w:p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Understanding of assessment strategies and the use of assessment to inform the next stages of learning</w:t>
            </w:r>
          </w:p>
        </w:tc>
        <w:tc>
          <w:tcPr>
            <w:tcW w:w="709" w:type="dxa"/>
          </w:tcPr>
          <w:p w:rsidR="00ED4A45" w:rsidRDefault="00ED4A45" w:rsidP="00ED4A45">
            <w:r w:rsidRPr="00E545ED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Extensive experience of effective monitoring and evaluation of teaching and learning</w:t>
            </w:r>
          </w:p>
        </w:tc>
        <w:tc>
          <w:tcPr>
            <w:tcW w:w="709" w:type="dxa"/>
          </w:tcPr>
          <w:p w:rsidR="00ED4A45" w:rsidRDefault="00ED4A45" w:rsidP="00ED4A45">
            <w:r w:rsidRPr="00E545ED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Understanding of the characteristics of an effective learning environment and the key elements of successful behaviour management</w:t>
            </w:r>
          </w:p>
        </w:tc>
        <w:tc>
          <w:tcPr>
            <w:tcW w:w="709" w:type="dxa"/>
          </w:tcPr>
          <w:p w:rsidR="00ED4A45" w:rsidRDefault="00ED4A45" w:rsidP="00ED4A45">
            <w:r w:rsidRPr="00E545ED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  <w:tr w:rsidR="00ED4A45" w:rsidTr="00571F69">
        <w:tc>
          <w:tcPr>
            <w:tcW w:w="7650" w:type="dxa"/>
          </w:tcPr>
          <w:p w:rsidR="00ED4A45" w:rsidRDefault="00ED4A45" w:rsidP="00ED4A45">
            <w:r>
              <w:t>Successful experience in creating an effective learning environment and in development and implementing policy and practice relating to behaviour management</w:t>
            </w:r>
          </w:p>
        </w:tc>
        <w:tc>
          <w:tcPr>
            <w:tcW w:w="709" w:type="dxa"/>
          </w:tcPr>
          <w:p w:rsidR="00ED4A45" w:rsidRDefault="00ED4A45" w:rsidP="00ED4A45">
            <w:r w:rsidRPr="00E545ED">
              <w:sym w:font="Wingdings" w:char="F0FC"/>
            </w:r>
          </w:p>
        </w:tc>
        <w:tc>
          <w:tcPr>
            <w:tcW w:w="657" w:type="dxa"/>
          </w:tcPr>
          <w:p w:rsidR="00ED4A45" w:rsidRDefault="00ED4A45" w:rsidP="00ED4A45"/>
        </w:tc>
      </w:tr>
    </w:tbl>
    <w:p w:rsidR="00550B6A" w:rsidRDefault="00550B6A"/>
    <w:p w:rsidR="00550B6A" w:rsidRDefault="00550B6A"/>
    <w:p w:rsidR="00ED4A45" w:rsidRDefault="00ED4A45"/>
    <w:sectPr w:rsidR="00ED4A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9A" w:rsidRDefault="0045019A" w:rsidP="0045019A">
      <w:pPr>
        <w:spacing w:after="0" w:line="240" w:lineRule="auto"/>
      </w:pPr>
      <w:r>
        <w:separator/>
      </w:r>
    </w:p>
  </w:endnote>
  <w:endnote w:type="continuationSeparator" w:id="0">
    <w:p w:rsidR="0045019A" w:rsidRDefault="0045019A" w:rsidP="0045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9A" w:rsidRDefault="0045019A">
    <w:pPr>
      <w:pStyle w:val="Footer"/>
    </w:pPr>
    <w:r>
      <w:t>GMS Director Person Specification Updated September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9A" w:rsidRDefault="0045019A" w:rsidP="0045019A">
      <w:pPr>
        <w:spacing w:after="0" w:line="240" w:lineRule="auto"/>
      </w:pPr>
      <w:r>
        <w:separator/>
      </w:r>
    </w:p>
  </w:footnote>
  <w:footnote w:type="continuationSeparator" w:id="0">
    <w:p w:rsidR="0045019A" w:rsidRDefault="0045019A" w:rsidP="00450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8D"/>
    <w:rsid w:val="00220268"/>
    <w:rsid w:val="00437FDD"/>
    <w:rsid w:val="0045019A"/>
    <w:rsid w:val="004A2A7A"/>
    <w:rsid w:val="004E73F8"/>
    <w:rsid w:val="00550B6A"/>
    <w:rsid w:val="00751274"/>
    <w:rsid w:val="007828E4"/>
    <w:rsid w:val="008C1142"/>
    <w:rsid w:val="0090268D"/>
    <w:rsid w:val="009A4973"/>
    <w:rsid w:val="00AB283D"/>
    <w:rsid w:val="00ED4A45"/>
    <w:rsid w:val="00F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0FDBD-21B8-4AF8-A2D2-07D3414D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9A"/>
  </w:style>
  <w:style w:type="paragraph" w:styleId="Footer">
    <w:name w:val="footer"/>
    <w:basedOn w:val="Normal"/>
    <w:link w:val="FooterChar"/>
    <w:uiPriority w:val="99"/>
    <w:unhideWhenUsed/>
    <w:rsid w:val="00450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for Learning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Degraft-Hanson</dc:creator>
  <cp:keywords/>
  <dc:description/>
  <cp:lastModifiedBy>Laura James</cp:lastModifiedBy>
  <cp:revision>2</cp:revision>
  <dcterms:created xsi:type="dcterms:W3CDTF">2021-09-29T09:54:00Z</dcterms:created>
  <dcterms:modified xsi:type="dcterms:W3CDTF">2021-09-29T09:54:00Z</dcterms:modified>
</cp:coreProperties>
</file>