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inline distB="0" distT="0" distL="0" distR="0">
            <wp:extent cx="1130430" cy="115049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430" cy="1150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Job Description Class teacher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Job details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Salary range: TEACHERS’ PAY SCALE (MAIN PAYSCALE 1-6)</w:t>
        <w:tab/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Contract type: PERMANENT</w:t>
        <w:tab/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Reporting to: HEAD TEACHER/DEPUTY HEADTEACHER</w:t>
        <w:tab/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Main purpose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The Teacher will: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Fulfil the professional responsibilities of a teacher, as set out in the School Teacher’s Pay and Conditions Document (STPCD)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Meet the expectations set out in the Teacher’s Standards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Fulfil duties reasonably directed by the Headteacher 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N.B. The duties listed below are not an exhaustive list of requirements. 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Key responsibilities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Teaching: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 responsible for the quality of the teaching and learning of all pupils who are assigned to the post holder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Plan and teach well-structured lessons to assigned classes, following the school’s plans and curriculum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Assess, monitor, record and report on the learning needs, progress and achievements of assigned pupils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Participate in arrangements for preparing pupils for examinations. 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Whole-school organisation, strategy and development: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Contribute to the development, implementation and evaluation of the school’s policies, practices and procedures, so as to support the school’s values and vision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Make a positive contribution to the school’s vision and values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Work with others on curriculum and/or pupil development to secure coordinated outcomes.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Health and Safety: 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 aware of and comply with policies and procedures relating to child protection, health and safety, confidentiality, security, data protection; and report all concerns to an appropriate person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Promote the safety and wellbeing of pupils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Maintain good order and discipline among pupils, managing behaviour effectively to ensure a good and safe learning environment. 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Working with colleagues and other relevant professionals: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Collaborate and work with colleagues and other relevant professionals within and beyond the school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Develop effective professional relationships with colleagues.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Management of staff and resources: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Direct, supervise and provide support to support staff assigned to them and, where appropriate, other teachers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Contribute to the recruitment, selection, appointment and professional development of other teachers and support staff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Monitor quality and standards of resources delegated to them. </w:t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Professional development: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Take part in the school’s appraisal procedures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Take part in further training and development in order to improve own teaching and overall performance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Where appropriate, take part in the appraisal and professional development of others. 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Communication: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Communicate effectively with pupils, parents/ carers, colleagues, wider school community and governors. 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7CF9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LgendF6ELIdtc2TtIT+UfpLLQ==">CgMxLjA4AHIhMWUycDVGazFzSTFpUWdhbVpUZzNHZ2RDaktia2lxR1NJ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2024-03-12T16:24:00Z</dcterms:created>
  <dc:creator>LOsborne</dc:creator>
</cp:coreProperties>
</file>