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8BD6" w14:textId="53734324" w:rsidR="00B12268" w:rsidRDefault="00F109E4">
      <w:pPr>
        <w:pStyle w:val="Title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65A2AC0" wp14:editId="1FA76D39">
            <wp:simplePos x="0" y="0"/>
            <wp:positionH relativeFrom="column">
              <wp:posOffset>-1414780</wp:posOffset>
            </wp:positionH>
            <wp:positionV relativeFrom="paragraph">
              <wp:posOffset>-575945</wp:posOffset>
            </wp:positionV>
            <wp:extent cx="3077845" cy="1360805"/>
            <wp:effectExtent l="0" t="0" r="8255" b="0"/>
            <wp:wrapNone/>
            <wp:docPr id="4" name="image1.jpg" descr="Broxbourne Logos x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oxbourne Logos x33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1360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CB737DC" wp14:editId="07E38CC8">
                <wp:simplePos x="0" y="0"/>
                <wp:positionH relativeFrom="column">
                  <wp:posOffset>1170940</wp:posOffset>
                </wp:positionH>
                <wp:positionV relativeFrom="paragraph">
                  <wp:posOffset>0</wp:posOffset>
                </wp:positionV>
                <wp:extent cx="3703320" cy="741680"/>
                <wp:effectExtent l="0" t="0" r="87630" b="9652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9284BB" w14:textId="77777777" w:rsidR="00B12268" w:rsidRDefault="00B12268">
                            <w:pPr>
                              <w:ind w:right="115"/>
                              <w:textDirection w:val="btLr"/>
                            </w:pPr>
                          </w:p>
                          <w:p w14:paraId="14FAE7A2" w14:textId="2FF25A42" w:rsidR="00B12268" w:rsidRDefault="002E34B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THE RELIGIOUS EDUCATION</w:t>
                            </w:r>
                            <w:r w:rsidR="00F109E4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, PHILOSOPHY AND ETHICS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DEPARTMENT</w:t>
                            </w:r>
                          </w:p>
                          <w:p w14:paraId="7894E254" w14:textId="77777777" w:rsidR="00B12268" w:rsidRDefault="00B12268">
                            <w:pPr>
                              <w:ind w:right="115"/>
                              <w:textDirection w:val="btLr"/>
                            </w:pPr>
                          </w:p>
                          <w:p w14:paraId="02BB9E5D" w14:textId="77777777" w:rsidR="00B12268" w:rsidRDefault="00B122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37DC" id="_x0000_s1026" style="position:absolute;left:0;text-align:left;margin-left:92.2pt;margin-top:0;width:291.6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">
                <v:stroke startarrowwidth="narrow" startarrowlength="short" endarrowwidth="narrow" endarrowlength="short"/>
                <v:shadow on="t" offset="6pt,6pt"/>
                <v:textbox inset="2.53958mm,1.2694mm,2.53958mm,1.2694mm">
                  <w:txbxContent>
                    <w:p w14:paraId="499284BB" w14:textId="77777777" w:rsidR="00B12268" w:rsidRDefault="00B12268">
                      <w:pPr>
                        <w:ind w:right="115"/>
                        <w:textDirection w:val="btLr"/>
                      </w:pPr>
                    </w:p>
                    <w:p w14:paraId="14FAE7A2" w14:textId="2FF25A42" w:rsidR="00B12268" w:rsidRDefault="002E34B0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THE RELIGIOUS EDUCATION</w:t>
                      </w:r>
                      <w:r w:rsidR="00F109E4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, PHILOSOPHY AND ETHICS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DEPARTMENT</w:t>
                      </w:r>
                    </w:p>
                    <w:p w14:paraId="7894E254" w14:textId="77777777" w:rsidR="00B12268" w:rsidRDefault="00B12268">
                      <w:pPr>
                        <w:ind w:right="115"/>
                        <w:textDirection w:val="btLr"/>
                      </w:pPr>
                    </w:p>
                    <w:p w14:paraId="02BB9E5D" w14:textId="77777777" w:rsidR="00B12268" w:rsidRDefault="00B12268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0D28195" w14:textId="77777777" w:rsidR="00B12268" w:rsidRDefault="00B12268">
      <w:pPr>
        <w:pStyle w:val="Title"/>
        <w:rPr>
          <w:b/>
        </w:rPr>
      </w:pPr>
    </w:p>
    <w:p w14:paraId="56C2203F" w14:textId="77777777" w:rsidR="00B12268" w:rsidRDefault="00B12268">
      <w:pPr>
        <w:pStyle w:val="Title"/>
        <w:rPr>
          <w:b/>
        </w:rPr>
      </w:pPr>
    </w:p>
    <w:p w14:paraId="705BF91C" w14:textId="77777777" w:rsidR="00B12268" w:rsidRDefault="00B12268">
      <w:pPr>
        <w:pStyle w:val="Title"/>
        <w:rPr>
          <w:b/>
        </w:rPr>
      </w:pPr>
    </w:p>
    <w:p w14:paraId="13709A6A" w14:textId="77777777" w:rsidR="00B12268" w:rsidRDefault="00B12268">
      <w:pPr>
        <w:pStyle w:val="Title"/>
        <w:jc w:val="both"/>
        <w:rPr>
          <w:rFonts w:ascii="Arial" w:eastAsia="Arial" w:hAnsi="Arial" w:cs="Arial"/>
          <w:sz w:val="22"/>
          <w:szCs w:val="22"/>
        </w:rPr>
      </w:pPr>
    </w:p>
    <w:p w14:paraId="7F474FDE" w14:textId="77777777" w:rsidR="00F109E4" w:rsidRDefault="00F109E4">
      <w:pPr>
        <w:pStyle w:val="Title"/>
        <w:ind w:right="425"/>
        <w:jc w:val="both"/>
        <w:rPr>
          <w:rFonts w:ascii="Calibri" w:eastAsia="Calibri" w:hAnsi="Calibri" w:cs="Calibri"/>
          <w:sz w:val="22"/>
          <w:szCs w:val="22"/>
        </w:rPr>
      </w:pPr>
    </w:p>
    <w:p w14:paraId="61E09611" w14:textId="0FFC2592" w:rsidR="00B12268" w:rsidRDefault="002E34B0">
      <w:pPr>
        <w:pStyle w:val="Title"/>
        <w:ind w:righ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RE</w:t>
      </w:r>
      <w:r w:rsidR="00F109E4">
        <w:rPr>
          <w:rFonts w:ascii="Calibri" w:eastAsia="Calibri" w:hAnsi="Calibri" w:cs="Calibri"/>
          <w:sz w:val="22"/>
          <w:szCs w:val="22"/>
        </w:rPr>
        <w:t>, Philosophy and Ethics</w:t>
      </w:r>
      <w:r>
        <w:rPr>
          <w:rFonts w:ascii="Calibri" w:eastAsia="Calibri" w:hAnsi="Calibri" w:cs="Calibri"/>
          <w:sz w:val="22"/>
          <w:szCs w:val="22"/>
        </w:rPr>
        <w:t xml:space="preserve"> Department consists of four specialists.  All colleagues teach across the age and ability range.  The department consistently produces excellent examination results at all levels.  The department has had a clear focus on developing a curriculum which is question and concept led and which ensures a balance between ‘learning about’ and ‘learning from’ religion.  The department continues to develop a wide range of teaching and learning activities to ensure an experience of RE which is engaging and challenging and, when appropriate, fun.</w:t>
      </w:r>
    </w:p>
    <w:p w14:paraId="7FEA07E7" w14:textId="77777777" w:rsidR="00B12268" w:rsidRDefault="00B12268">
      <w:pPr>
        <w:pStyle w:val="Title"/>
        <w:ind w:right="425"/>
        <w:jc w:val="both"/>
        <w:rPr>
          <w:rFonts w:ascii="Calibri" w:eastAsia="Calibri" w:hAnsi="Calibri" w:cs="Calibri"/>
          <w:sz w:val="22"/>
          <w:szCs w:val="22"/>
        </w:rPr>
      </w:pPr>
    </w:p>
    <w:p w14:paraId="503E212D" w14:textId="77777777" w:rsidR="00B12268" w:rsidRDefault="002E34B0">
      <w:pPr>
        <w:pStyle w:val="Title"/>
        <w:ind w:righ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subject has a very high profile within the school and is valued by pupils and other staff.  It is a very popular subject at all levels and exam results are some of the best within the school.</w:t>
      </w:r>
    </w:p>
    <w:p w14:paraId="7A8BA9B7" w14:textId="77777777" w:rsidR="00B12268" w:rsidRDefault="00B12268">
      <w:pPr>
        <w:pStyle w:val="Title"/>
        <w:ind w:right="425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AFAC0AC" w14:textId="01E6EF4B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This is an excellent department with a highly committed staff.  The department prides itself in the enthusiasm and excellent subject knowledge of staff, coupled with exceptionally positive relationships between staff and pupils. </w:t>
      </w:r>
    </w:p>
    <w:p w14:paraId="60BE759A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05B27D19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Accommodation and Resources</w:t>
      </w:r>
    </w:p>
    <w:p w14:paraId="2B75EDFE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The department has two specialist rooms and shares an office as part of the Humanities faculty.  The department is very well resourced.  All classrooms are equipped with an interactive whiteboard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 students use Chromebooks</w:t>
      </w:r>
      <w:r>
        <w:rPr>
          <w:rFonts w:ascii="Calibri" w:eastAsia="Calibri" w:hAnsi="Calibri" w:cs="Calibri"/>
          <w:sz w:val="22"/>
          <w:szCs w:val="22"/>
        </w:rPr>
        <w:t xml:space="preserve"> and we use Google classroom to share resources.</w:t>
      </w:r>
    </w:p>
    <w:p w14:paraId="6637EECE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AD14442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Key Stage 3</w:t>
      </w:r>
    </w:p>
    <w:p w14:paraId="19344F47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 Key Stage 3 pupils receive two hours over a two-week timetable. Pupils follow a scheme of work based on the Hertfordshire Agreed Syllabus and are all very familiar with the 8 level marking Scale.</w:t>
      </w:r>
    </w:p>
    <w:p w14:paraId="06D20C38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692"/>
      </w:tblGrid>
      <w:tr w:rsidR="00B12268" w14:paraId="47A8AE31" w14:textId="77777777">
        <w:tc>
          <w:tcPr>
            <w:tcW w:w="1530" w:type="dxa"/>
            <w:vAlign w:val="center"/>
          </w:tcPr>
          <w:p w14:paraId="432B8760" w14:textId="77777777" w:rsidR="00B12268" w:rsidRDefault="002E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Year 7</w:t>
            </w:r>
          </w:p>
        </w:tc>
        <w:tc>
          <w:tcPr>
            <w:tcW w:w="6692" w:type="dxa"/>
          </w:tcPr>
          <w:p w14:paraId="77F54F34" w14:textId="77777777" w:rsidR="00B12268" w:rsidRDefault="002E34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Looking for God</w:t>
            </w:r>
          </w:p>
          <w:p w14:paraId="18EC7C39" w14:textId="77777777" w:rsidR="00B12268" w:rsidRDefault="002E34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Judaism and Sikhism: Rights &amp; Responsibilities </w:t>
            </w:r>
          </w:p>
          <w:p w14:paraId="436653C6" w14:textId="77777777" w:rsidR="00B12268" w:rsidRDefault="002E34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Hinduism: Beliefs into Action</w:t>
            </w:r>
          </w:p>
        </w:tc>
      </w:tr>
      <w:tr w:rsidR="00B12268" w14:paraId="65E18A9B" w14:textId="77777777">
        <w:tc>
          <w:tcPr>
            <w:tcW w:w="1530" w:type="dxa"/>
            <w:vAlign w:val="center"/>
          </w:tcPr>
          <w:p w14:paraId="2D2F70C8" w14:textId="77777777" w:rsidR="00B12268" w:rsidRDefault="002E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Year 8</w:t>
            </w:r>
          </w:p>
        </w:tc>
        <w:tc>
          <w:tcPr>
            <w:tcW w:w="6692" w:type="dxa"/>
          </w:tcPr>
          <w:p w14:paraId="1006807A" w14:textId="77777777" w:rsidR="00B12268" w:rsidRDefault="002E34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Religion and Science</w:t>
            </w:r>
          </w:p>
          <w:p w14:paraId="647B774C" w14:textId="77777777" w:rsidR="00B12268" w:rsidRDefault="002E34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Why is there evil and suffering in the world?</w:t>
            </w:r>
          </w:p>
          <w:p w14:paraId="6F9C9A8A" w14:textId="77777777" w:rsidR="00B12268" w:rsidRDefault="002E34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Islamophobia and the British media</w:t>
            </w:r>
          </w:p>
        </w:tc>
      </w:tr>
      <w:tr w:rsidR="00B12268" w14:paraId="34399946" w14:textId="77777777">
        <w:tc>
          <w:tcPr>
            <w:tcW w:w="1530" w:type="dxa"/>
            <w:vAlign w:val="center"/>
          </w:tcPr>
          <w:p w14:paraId="188F3A7F" w14:textId="77777777" w:rsidR="00B12268" w:rsidRDefault="002E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Year 9</w:t>
            </w:r>
          </w:p>
        </w:tc>
        <w:tc>
          <w:tcPr>
            <w:tcW w:w="6692" w:type="dxa"/>
          </w:tcPr>
          <w:p w14:paraId="49C3D9FA" w14:textId="77777777" w:rsidR="00B12268" w:rsidRDefault="002E34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Ethical issues in the modern world</w:t>
            </w:r>
          </w:p>
          <w:p w14:paraId="798E1C5D" w14:textId="77777777" w:rsidR="00B12268" w:rsidRDefault="002E34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What do we mean by right and wrong?</w:t>
            </w:r>
          </w:p>
          <w:p w14:paraId="5BE3261A" w14:textId="77777777" w:rsidR="00B12268" w:rsidRDefault="002E34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 there life after death?</w:t>
            </w:r>
          </w:p>
        </w:tc>
      </w:tr>
    </w:tbl>
    <w:p w14:paraId="20B9E680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6CC8EB3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Pupils visit a number of faith communities as part of their studies and the department has also welcomed visitors into school.</w:t>
      </w:r>
    </w:p>
    <w:p w14:paraId="408B2678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54FA156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Key Stage 4</w:t>
      </w:r>
    </w:p>
    <w:p w14:paraId="4AED2E9E" w14:textId="4C82796E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There are currently 4 classes following the Eduqas GCSE Religious Studies. The </w:t>
      </w:r>
      <w:r>
        <w:rPr>
          <w:rFonts w:ascii="Calibri" w:eastAsia="Calibri" w:hAnsi="Calibri" w:cs="Calibri"/>
          <w:sz w:val="22"/>
          <w:szCs w:val="22"/>
        </w:rPr>
        <w:t>Year 11 cohort are completing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Philosophy, Christianity and Hinduism</w:t>
      </w:r>
      <w:r>
        <w:rPr>
          <w:rFonts w:ascii="Calibri" w:eastAsia="Calibri" w:hAnsi="Calibri" w:cs="Calibri"/>
          <w:sz w:val="22"/>
          <w:szCs w:val="22"/>
        </w:rPr>
        <w:t>. With the Year 10 cohort completing Philosophy, Christianity and Islam.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There is a core RE programme which is delivered through a number of PSHCE days throughout Years 10 and 11.  In 2024 the GCSE 9-7 grade was </w:t>
      </w:r>
      <w:r w:rsidR="00CE6E90">
        <w:rPr>
          <w:rFonts w:ascii="Calibri" w:eastAsia="Calibri" w:hAnsi="Calibri" w:cs="Calibri"/>
          <w:color w:val="000000" w:themeColor="text1"/>
          <w:sz w:val="22"/>
          <w:szCs w:val="22"/>
        </w:rPr>
        <w:t>45.5</w:t>
      </w:r>
      <w:r w:rsidRPr="00CE6E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%.  </w:t>
      </w:r>
    </w:p>
    <w:p w14:paraId="08223D17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248E5F18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4E2D6FE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Key Stage 5</w:t>
      </w:r>
    </w:p>
    <w:p w14:paraId="0D5E7564" w14:textId="5739F9FA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There are </w:t>
      </w:r>
      <w:r w:rsidR="00CE6E90">
        <w:rPr>
          <w:rFonts w:ascii="Calibri" w:eastAsia="Calibri" w:hAnsi="Calibri" w:cs="Calibri"/>
          <w:color w:val="000000"/>
          <w:sz w:val="22"/>
          <w:szCs w:val="22"/>
        </w:rPr>
        <w:t>31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students following the Eduqas Religious Studies A-Level (Philosophy of Religion, Religious Ethics and Hinduism) in Years 12 and 13.  In 2024 the A-C pass rate at A Level was </w:t>
      </w:r>
      <w:r w:rsidR="00CE6E90">
        <w:rPr>
          <w:rFonts w:ascii="Calibri" w:eastAsia="Calibri" w:hAnsi="Calibri" w:cs="Calibri"/>
          <w:color w:val="000000" w:themeColor="text1"/>
          <w:sz w:val="22"/>
          <w:szCs w:val="22"/>
        </w:rPr>
        <w:t>89.5</w:t>
      </w:r>
      <w:r w:rsidRPr="00CE6E9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%.  </w:t>
      </w:r>
      <w:r>
        <w:rPr>
          <w:rFonts w:ascii="Calibri" w:eastAsia="Calibri" w:hAnsi="Calibri" w:cs="Calibri"/>
          <w:color w:val="000000"/>
          <w:sz w:val="22"/>
          <w:szCs w:val="22"/>
        </w:rPr>
        <w:t>Each year, several students continue pursue courses in Theology, Religious Studies or Philosophy at University.</w:t>
      </w:r>
    </w:p>
    <w:p w14:paraId="6637BE8A" w14:textId="77777777" w:rsidR="00F109E4" w:rsidRDefault="00F109E4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B0ECAB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7412E5" w14:textId="77777777" w:rsidR="00B12268" w:rsidRDefault="002E34B0">
      <w:pPr>
        <w:ind w:right="425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Induction and Support</w:t>
      </w:r>
    </w:p>
    <w:p w14:paraId="6305AC90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school offers a full and effective induction and support programme to new and experienced teachers.   </w:t>
      </w:r>
    </w:p>
    <w:p w14:paraId="6BB9F431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57D9DA82" w14:textId="77777777" w:rsidR="00B12268" w:rsidRDefault="002E34B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Letter of Application</w:t>
      </w:r>
    </w:p>
    <w:p w14:paraId="5BA09DD8" w14:textId="6EEE2FD6" w:rsidR="00B12268" w:rsidRDefault="002E34B0">
      <w:pPr>
        <w:widowControl w:val="0"/>
        <w:ind w:right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their letter of application, which should not exceed two sides of A4, candidates should, amongst other points, describe their approach to the teaching of RE</w:t>
      </w:r>
      <w:r w:rsidR="00F109E4">
        <w:rPr>
          <w:rFonts w:ascii="Calibri" w:eastAsia="Calibri" w:hAnsi="Calibri" w:cs="Calibri"/>
          <w:sz w:val="22"/>
          <w:szCs w:val="22"/>
        </w:rPr>
        <w:t>, Philosophy and Ethics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BD44188" w14:textId="77777777" w:rsidR="00B12268" w:rsidRDefault="00B12268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14:paraId="58E2E4FB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776494" w14:textId="77777777" w:rsidR="00B12268" w:rsidRDefault="00B122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B12268" w:rsidSect="00F109E4">
      <w:footerReference w:type="default" r:id="rId9"/>
      <w:pgSz w:w="11906" w:h="16838"/>
      <w:pgMar w:top="993" w:right="707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B880" w14:textId="77777777" w:rsidR="00567621" w:rsidRDefault="002E34B0">
      <w:r>
        <w:separator/>
      </w:r>
    </w:p>
  </w:endnote>
  <w:endnote w:type="continuationSeparator" w:id="0">
    <w:p w14:paraId="0429FD26" w14:textId="77777777" w:rsidR="00567621" w:rsidRDefault="002E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948C" w14:textId="77777777" w:rsidR="00B12268" w:rsidRDefault="00B122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F0A7" w14:textId="77777777" w:rsidR="00567621" w:rsidRDefault="002E34B0">
      <w:r>
        <w:separator/>
      </w:r>
    </w:p>
  </w:footnote>
  <w:footnote w:type="continuationSeparator" w:id="0">
    <w:p w14:paraId="37C185D4" w14:textId="77777777" w:rsidR="00567621" w:rsidRDefault="002E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11617"/>
    <w:multiLevelType w:val="multilevel"/>
    <w:tmpl w:val="416417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77B52DE"/>
    <w:multiLevelType w:val="multilevel"/>
    <w:tmpl w:val="905471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B026133"/>
    <w:multiLevelType w:val="multilevel"/>
    <w:tmpl w:val="3D4866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68"/>
    <w:rsid w:val="002E34B0"/>
    <w:rsid w:val="00567621"/>
    <w:rsid w:val="00B12268"/>
    <w:rsid w:val="00CE6E90"/>
    <w:rsid w:val="00F1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7829"/>
  <w15:docId w15:val="{8E237F49-9CCF-498B-8B80-DE40F5C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4"/>
      <w:lang w:eastAsia="en-US"/>
    </w:rPr>
  </w:style>
  <w:style w:type="paragraph" w:styleId="BodyText">
    <w:name w:val="Body Text"/>
    <w:basedOn w:val="Normal"/>
    <w:pPr>
      <w:jc w:val="both"/>
    </w:pPr>
    <w:rPr>
      <w:sz w:val="24"/>
      <w:lang w:eastAsia="en-US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sid w:val="00686121"/>
    <w:pPr>
      <w:widowControl w:val="0"/>
    </w:pPr>
    <w:rPr>
      <w:snapToGrid w:val="0"/>
      <w:sz w:val="24"/>
      <w:lang w:val="en-US" w:eastAsia="en-US"/>
    </w:rPr>
  </w:style>
  <w:style w:type="paragraph" w:styleId="BalloonText">
    <w:name w:val="Balloon Text"/>
    <w:basedOn w:val="Normal"/>
    <w:semiHidden/>
    <w:rsid w:val="008F3B7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L0/pDNGeEoubU/oUmG8L/UnUg==">CgMxLjAyCGguZ2pkZ3hzOAByITFoUnNsNVdPRHlRNW11Vlh4UnFsUm9zdXVpaW16Nkx0Qw==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JLA</cp:lastModifiedBy>
  <cp:revision>4</cp:revision>
  <dcterms:created xsi:type="dcterms:W3CDTF">2025-02-28T10:03:00Z</dcterms:created>
  <dcterms:modified xsi:type="dcterms:W3CDTF">2025-03-10T13:49:00Z</dcterms:modified>
</cp:coreProperties>
</file>